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F4" w:rsidRDefault="00DC47F4" w:rsidP="00DC47F4">
      <w:pPr>
        <w:pStyle w:val="a8"/>
        <w:ind w:left="0"/>
        <w:jc w:val="center"/>
        <w:rPr>
          <w:b/>
        </w:rPr>
      </w:pPr>
    </w:p>
    <w:p w:rsidR="00286CD4" w:rsidRPr="00286CD4" w:rsidRDefault="00286CD4" w:rsidP="00286CD4">
      <w:pPr>
        <w:tabs>
          <w:tab w:val="left" w:pos="0"/>
        </w:tabs>
        <w:jc w:val="center"/>
        <w:rPr>
          <w:rFonts w:ascii="Tahoma" w:eastAsia="Times New Roman" w:hAnsi="Tahoma"/>
          <w:sz w:val="20"/>
          <w:lang w:eastAsia="en-US"/>
        </w:rPr>
      </w:pPr>
      <w:r w:rsidRPr="00286CD4">
        <w:rPr>
          <w:rFonts w:ascii="Tahoma" w:eastAsia="Times New Roman" w:hAnsi="Tahoma"/>
          <w:noProof/>
          <w:sz w:val="20"/>
          <w:lang w:eastAsia="bg-BG"/>
        </w:rPr>
        <w:drawing>
          <wp:inline distT="0" distB="0" distL="0" distR="0" wp14:anchorId="186CCEDC" wp14:editId="21489B1A">
            <wp:extent cx="1336040" cy="866775"/>
            <wp:effectExtent l="0" t="0" r="0" b="9525"/>
            <wp:docPr id="1" name="Картина 1"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866775"/>
                    </a:xfrm>
                    <a:prstGeom prst="rect">
                      <a:avLst/>
                    </a:prstGeom>
                    <a:noFill/>
                    <a:ln>
                      <a:noFill/>
                    </a:ln>
                  </pic:spPr>
                </pic:pic>
              </a:graphicData>
            </a:graphic>
          </wp:inline>
        </w:drawing>
      </w:r>
    </w:p>
    <w:p w:rsidR="00286CD4" w:rsidRPr="00286CD4" w:rsidRDefault="00286CD4" w:rsidP="00286CD4">
      <w:pPr>
        <w:tabs>
          <w:tab w:val="left" w:pos="0"/>
        </w:tabs>
        <w:jc w:val="center"/>
        <w:rPr>
          <w:rFonts w:ascii="Tahoma" w:eastAsia="Times New Roman" w:hAnsi="Tahoma"/>
          <w:sz w:val="20"/>
          <w:lang w:val="ru-RU" w:eastAsia="en-US"/>
        </w:rPr>
      </w:pPr>
    </w:p>
    <w:p w:rsidR="00286CD4" w:rsidRPr="00286CD4" w:rsidRDefault="00286CD4" w:rsidP="00286CD4">
      <w:pPr>
        <w:tabs>
          <w:tab w:val="left" w:pos="0"/>
        </w:tabs>
        <w:jc w:val="center"/>
        <w:rPr>
          <w:rFonts w:eastAsia="Batang"/>
          <w:b/>
          <w:sz w:val="30"/>
          <w:szCs w:val="30"/>
          <w:lang w:eastAsia="en-US"/>
        </w:rPr>
      </w:pPr>
      <w:r w:rsidRPr="00286CD4">
        <w:rPr>
          <w:rFonts w:eastAsia="Batang"/>
          <w:b/>
          <w:sz w:val="30"/>
          <w:szCs w:val="30"/>
          <w:lang w:eastAsia="en-US"/>
        </w:rPr>
        <w:t>ОБЩИНА ПЛОВДИВ</w:t>
      </w:r>
    </w:p>
    <w:p w:rsidR="00286CD4" w:rsidRPr="00286CD4" w:rsidRDefault="00286CD4" w:rsidP="00286CD4">
      <w:pPr>
        <w:tabs>
          <w:tab w:val="left" w:pos="0"/>
        </w:tabs>
        <w:jc w:val="center"/>
        <w:rPr>
          <w:rFonts w:eastAsia="Times New Roman"/>
          <w:sz w:val="14"/>
          <w:szCs w:val="14"/>
          <w:lang w:val="ru-RU" w:eastAsia="en-US"/>
        </w:rPr>
      </w:pPr>
      <w:r w:rsidRPr="00286CD4">
        <w:rPr>
          <w:rFonts w:eastAsia="Times New Roman"/>
          <w:sz w:val="14"/>
          <w:szCs w:val="14"/>
          <w:lang w:eastAsia="en-US"/>
        </w:rPr>
        <w:t xml:space="preserve">Пловдив, 4000, </w:t>
      </w:r>
      <w:proofErr w:type="spellStart"/>
      <w:r w:rsidRPr="00286CD4">
        <w:rPr>
          <w:rFonts w:eastAsia="Times New Roman"/>
          <w:sz w:val="14"/>
          <w:szCs w:val="14"/>
          <w:lang w:eastAsia="en-US"/>
        </w:rPr>
        <w:t>пл</w:t>
      </w:r>
      <w:proofErr w:type="spellEnd"/>
      <w:r w:rsidRPr="00286CD4">
        <w:rPr>
          <w:rFonts w:eastAsia="Times New Roman"/>
          <w:sz w:val="14"/>
          <w:szCs w:val="14"/>
          <w:lang w:eastAsia="en-US"/>
        </w:rPr>
        <w:t>, “Стефан Стамболов” №1         тел: (032) 656 701, факс: (032) 656 703</w:t>
      </w:r>
    </w:p>
    <w:p w:rsidR="00286CD4" w:rsidRPr="00286CD4" w:rsidRDefault="00286CD4" w:rsidP="00286CD4">
      <w:pPr>
        <w:pBdr>
          <w:top w:val="single" w:sz="4" w:space="1" w:color="auto"/>
        </w:pBdr>
        <w:tabs>
          <w:tab w:val="left" w:pos="0"/>
        </w:tabs>
        <w:jc w:val="center"/>
        <w:rPr>
          <w:rFonts w:eastAsia="Times New Roman"/>
          <w:sz w:val="14"/>
          <w:szCs w:val="14"/>
          <w:lang w:eastAsia="en-US"/>
        </w:rPr>
      </w:pPr>
    </w:p>
    <w:p w:rsidR="00286CD4" w:rsidRPr="00286CD4" w:rsidRDefault="00286CD4" w:rsidP="00286CD4">
      <w:pPr>
        <w:jc w:val="center"/>
        <w:rPr>
          <w:rFonts w:eastAsia="Times New Roman"/>
          <w:lang w:eastAsia="en-US"/>
        </w:rPr>
      </w:pPr>
    </w:p>
    <w:p w:rsidR="00286CD4" w:rsidRPr="00286CD4" w:rsidRDefault="00286CD4" w:rsidP="00286CD4">
      <w:pPr>
        <w:jc w:val="center"/>
        <w:rPr>
          <w:rFonts w:eastAsia="Times New Roman"/>
          <w:lang w:eastAsia="en-US"/>
        </w:rPr>
      </w:pPr>
    </w:p>
    <w:p w:rsidR="00286CD4" w:rsidRDefault="00286CD4" w:rsidP="00DC47F4">
      <w:pPr>
        <w:pStyle w:val="a8"/>
        <w:ind w:left="0"/>
        <w:jc w:val="center"/>
        <w:rPr>
          <w:b/>
        </w:rPr>
      </w:pPr>
    </w:p>
    <w:p w:rsidR="00286CD4" w:rsidRDefault="00286CD4" w:rsidP="00DC47F4">
      <w:pPr>
        <w:pStyle w:val="a8"/>
        <w:ind w:left="0"/>
        <w:jc w:val="center"/>
        <w:rPr>
          <w:b/>
        </w:rPr>
      </w:pPr>
    </w:p>
    <w:p w:rsidR="00DC47F4" w:rsidRDefault="00DC47F4" w:rsidP="00DC47F4">
      <w:pPr>
        <w:pStyle w:val="a8"/>
        <w:ind w:left="0"/>
        <w:jc w:val="center"/>
        <w:rPr>
          <w:b/>
        </w:rPr>
      </w:pPr>
      <w:r>
        <w:rPr>
          <w:b/>
        </w:rPr>
        <w:t xml:space="preserve">ТЕХНИЧЕСКО ПРЕДЛОЖЕНИЕ </w:t>
      </w:r>
    </w:p>
    <w:p w:rsidR="00DC47F4" w:rsidRDefault="00DC47F4" w:rsidP="00DC47F4">
      <w:pPr>
        <w:jc w:val="both"/>
      </w:pPr>
    </w:p>
    <w:p w:rsidR="00DC47F4" w:rsidRDefault="00DC47F4" w:rsidP="00DC47F4">
      <w:pPr>
        <w:ind w:firstLine="720"/>
        <w:jc w:val="both"/>
      </w:pPr>
      <w:r>
        <w:t>От ................................................................................... (</w:t>
      </w:r>
      <w:r>
        <w:rPr>
          <w:i/>
        </w:rPr>
        <w:t>наименование на участника</w:t>
      </w:r>
      <w:r>
        <w:t>), с ЕИК …........................., представляван от ..................................................... (</w:t>
      </w:r>
      <w:r>
        <w:rPr>
          <w:i/>
        </w:rPr>
        <w:t>трите имена</w:t>
      </w:r>
      <w:r>
        <w:t>) в качеството на ................................... (</w:t>
      </w:r>
      <w:r>
        <w:rPr>
          <w:i/>
        </w:rPr>
        <w:t>длъжност или друго качество</w:t>
      </w:r>
      <w:r>
        <w:t>)</w:t>
      </w:r>
    </w:p>
    <w:p w:rsidR="00DC47F4" w:rsidRDefault="00DC47F4" w:rsidP="00DC47F4">
      <w:pPr>
        <w:jc w:val="both"/>
      </w:pPr>
    </w:p>
    <w:p w:rsidR="00DC47F4" w:rsidRDefault="00DC47F4" w:rsidP="00DC47F4">
      <w:pPr>
        <w:ind w:firstLine="720"/>
        <w:rPr>
          <w:b/>
          <w:bCs/>
          <w:lang w:val="ru-RU"/>
        </w:rPr>
      </w:pPr>
    </w:p>
    <w:p w:rsidR="00DC47F4" w:rsidRDefault="00DC47F4" w:rsidP="00DC47F4">
      <w:pPr>
        <w:ind w:firstLine="720"/>
        <w:rPr>
          <w:b/>
          <w:bCs/>
          <w:lang w:val="ru-RU"/>
        </w:rPr>
      </w:pPr>
    </w:p>
    <w:p w:rsidR="00DC47F4" w:rsidRDefault="00DC47F4" w:rsidP="00DC47F4">
      <w:pPr>
        <w:ind w:firstLine="720"/>
        <w:rPr>
          <w:b/>
          <w:bCs/>
          <w:color w:val="FF0000"/>
          <w:lang w:val="ru-RU"/>
        </w:rPr>
      </w:pPr>
      <w:r>
        <w:rPr>
          <w:b/>
          <w:bCs/>
          <w:lang w:val="ru-RU"/>
        </w:rPr>
        <w:t>УВАЖАЕМИ ДАМИ И ГОСПОДА,</w:t>
      </w:r>
    </w:p>
    <w:p w:rsidR="00DC47F4" w:rsidRDefault="00DC47F4" w:rsidP="00DC47F4">
      <w:pPr>
        <w:ind w:firstLine="720"/>
        <w:jc w:val="both"/>
        <w:rPr>
          <w:bCs/>
          <w:lang w:val="ru-RU"/>
        </w:rPr>
      </w:pPr>
    </w:p>
    <w:p w:rsidR="0028303E" w:rsidRDefault="00DC47F4" w:rsidP="004C6BE9">
      <w:pPr>
        <w:ind w:firstLine="708"/>
        <w:jc w:val="both"/>
      </w:pPr>
      <w:proofErr w:type="spellStart"/>
      <w:r>
        <w:rPr>
          <w:bCs/>
          <w:lang w:val="ru-RU"/>
        </w:rPr>
        <w:t>Във</w:t>
      </w:r>
      <w:proofErr w:type="spellEnd"/>
      <w:r>
        <w:rPr>
          <w:bCs/>
          <w:lang w:val="ru-RU"/>
        </w:rPr>
        <w:t xml:space="preserve"> </w:t>
      </w:r>
      <w:proofErr w:type="spellStart"/>
      <w:r>
        <w:rPr>
          <w:bCs/>
          <w:lang w:val="ru-RU"/>
        </w:rPr>
        <w:t>връзка</w:t>
      </w:r>
      <w:proofErr w:type="spellEnd"/>
      <w:r>
        <w:rPr>
          <w:bCs/>
          <w:lang w:val="ru-RU"/>
        </w:rPr>
        <w:t xml:space="preserve"> с </w:t>
      </w:r>
      <w:proofErr w:type="spellStart"/>
      <w:r>
        <w:rPr>
          <w:bCs/>
          <w:lang w:val="ru-RU"/>
        </w:rPr>
        <w:t>представената</w:t>
      </w:r>
      <w:proofErr w:type="spellEnd"/>
      <w:r>
        <w:rPr>
          <w:bCs/>
          <w:lang w:val="ru-RU"/>
        </w:rPr>
        <w:t xml:space="preserve"> от на</w:t>
      </w:r>
      <w:r w:rsidR="00BA09BD">
        <w:rPr>
          <w:bCs/>
          <w:lang w:val="ru-RU"/>
        </w:rPr>
        <w:t>с оферта за участие в обществена</w:t>
      </w:r>
      <w:bookmarkStart w:id="0" w:name="_GoBack"/>
      <w:bookmarkEnd w:id="0"/>
      <w:r>
        <w:rPr>
          <w:bCs/>
          <w:lang w:val="ru-RU"/>
        </w:rPr>
        <w:t xml:space="preserve"> </w:t>
      </w:r>
      <w:proofErr w:type="spellStart"/>
      <w:r>
        <w:rPr>
          <w:bCs/>
          <w:lang w:val="ru-RU"/>
        </w:rPr>
        <w:t>поръчка</w:t>
      </w:r>
      <w:proofErr w:type="spellEnd"/>
      <w:r>
        <w:rPr>
          <w:bCs/>
          <w:lang w:val="ru-RU"/>
        </w:rPr>
        <w:t xml:space="preserve"> с предмет</w:t>
      </w:r>
      <w:r w:rsidRPr="00286CD4">
        <w:rPr>
          <w:bCs/>
          <w:lang w:val="ru-RU"/>
        </w:rPr>
        <w:t xml:space="preserve">: </w:t>
      </w:r>
      <w:r w:rsidRPr="00286CD4">
        <w:rPr>
          <w:rFonts w:eastAsiaTheme="minorHAnsi"/>
          <w:b/>
          <w:bCs/>
          <w:iCs/>
          <w:lang w:val="en-US" w:eastAsia="en-US"/>
        </w:rPr>
        <w:t>„</w:t>
      </w:r>
      <w:r w:rsidR="00286CD4" w:rsidRPr="00286CD4">
        <w:rPr>
          <w:rFonts w:eastAsiaTheme="minorHAnsi"/>
          <w:b/>
          <w:bCs/>
          <w:iCs/>
          <w:lang w:eastAsia="en-US"/>
        </w:rPr>
        <w:t>Резервации и закупуване на самолетни билети за нуждите на община Пловд</w:t>
      </w:r>
      <w:r w:rsidR="004C6BE9">
        <w:rPr>
          <w:rFonts w:eastAsiaTheme="minorHAnsi"/>
          <w:b/>
          <w:bCs/>
          <w:iCs/>
          <w:lang w:eastAsia="en-US"/>
        </w:rPr>
        <w:t>и</w:t>
      </w:r>
      <w:r w:rsidR="00286CD4" w:rsidRPr="00286CD4">
        <w:rPr>
          <w:rFonts w:eastAsiaTheme="minorHAnsi"/>
          <w:b/>
          <w:bCs/>
          <w:iCs/>
          <w:lang w:eastAsia="en-US"/>
        </w:rPr>
        <w:t>в</w:t>
      </w:r>
      <w:r w:rsidRPr="00286CD4">
        <w:rPr>
          <w:rFonts w:eastAsiaTheme="minorHAnsi"/>
          <w:b/>
          <w:bCs/>
          <w:iCs/>
          <w:lang w:val="en-US" w:eastAsia="en-US"/>
        </w:rPr>
        <w:t>”</w:t>
      </w:r>
      <w:r w:rsidR="0028303E">
        <w:rPr>
          <w:rFonts w:eastAsiaTheme="minorHAnsi"/>
          <w:b/>
          <w:bCs/>
          <w:iCs/>
          <w:lang w:eastAsia="en-US"/>
        </w:rPr>
        <w:t>,</w:t>
      </w:r>
      <w:r w:rsidR="00286CD4">
        <w:rPr>
          <w:rFonts w:eastAsiaTheme="minorHAnsi"/>
          <w:b/>
          <w:bCs/>
          <w:iCs/>
          <w:lang w:eastAsia="en-US"/>
        </w:rPr>
        <w:t xml:space="preserve"> </w:t>
      </w:r>
      <w:r w:rsidR="0028303E">
        <w:t xml:space="preserve">предлагаме да изпълним поръчката, съгласно изискванията на </w:t>
      </w:r>
      <w:r w:rsidR="004C6BE9">
        <w:t>в</w:t>
      </w:r>
      <w:r w:rsidR="0028303E">
        <w:t>ъзложителя при следните условия:</w:t>
      </w:r>
    </w:p>
    <w:p w:rsidR="00DC47F4" w:rsidRDefault="00DC47F4" w:rsidP="00DC47F4">
      <w:pPr>
        <w:autoSpaceDE w:val="0"/>
        <w:autoSpaceDN w:val="0"/>
        <w:adjustRightInd w:val="0"/>
        <w:spacing w:line="276" w:lineRule="auto"/>
        <w:ind w:firstLine="708"/>
        <w:jc w:val="both"/>
        <w:rPr>
          <w:lang w:val="ru-RU"/>
        </w:rPr>
      </w:pPr>
    </w:p>
    <w:p w:rsidR="0028303E" w:rsidRDefault="0028303E" w:rsidP="0028303E">
      <w:pPr>
        <w:numPr>
          <w:ilvl w:val="0"/>
          <w:numId w:val="2"/>
        </w:numPr>
        <w:spacing w:before="60"/>
        <w:ind w:left="714" w:hanging="357"/>
        <w:jc w:val="both"/>
        <w:rPr>
          <w:bCs/>
        </w:rPr>
      </w:pPr>
      <w:r>
        <w:rPr>
          <w:bCs/>
        </w:rPr>
        <w:t xml:space="preserve">Изпълнението на поръчката ще бъде осъществено съгласно всички изисквания на Техническата спецификация на </w:t>
      </w:r>
      <w:r w:rsidR="004C6BE9">
        <w:rPr>
          <w:bCs/>
        </w:rPr>
        <w:t>в</w:t>
      </w:r>
      <w:r>
        <w:rPr>
          <w:bCs/>
        </w:rPr>
        <w:t>ъзложителя.</w:t>
      </w:r>
    </w:p>
    <w:p w:rsidR="0028303E" w:rsidRDefault="0028303E" w:rsidP="0028303E">
      <w:pPr>
        <w:numPr>
          <w:ilvl w:val="0"/>
          <w:numId w:val="2"/>
        </w:numPr>
        <w:spacing w:before="60"/>
        <w:ind w:left="714" w:hanging="357"/>
        <w:jc w:val="both"/>
        <w:rPr>
          <w:noProof/>
        </w:rPr>
      </w:pPr>
      <w:r>
        <w:t xml:space="preserve">Ще </w:t>
      </w:r>
      <w:r>
        <w:rPr>
          <w:noProof/>
        </w:rPr>
        <w:t xml:space="preserve">осигурим възможност за </w:t>
      </w:r>
      <w:r>
        <w:t>приемане и изпълнение на заявки за осигуряване на самолетни билети посредством електронна поща в работни дни (08:30-17:15 ч.), както и по изключение в извънредни случаи в извънработно време, в почивни и в празнични дни</w:t>
      </w:r>
      <w:r>
        <w:rPr>
          <w:noProof/>
        </w:rPr>
        <w:t xml:space="preserve"> по 24 часа в денонощие, 365 дни в годината.</w:t>
      </w:r>
    </w:p>
    <w:p w:rsidR="0028303E" w:rsidRPr="0028303E" w:rsidRDefault="0028303E" w:rsidP="0028303E">
      <w:pPr>
        <w:pStyle w:val="2"/>
        <w:numPr>
          <w:ilvl w:val="0"/>
          <w:numId w:val="2"/>
        </w:numPr>
        <w:spacing w:before="60"/>
        <w:rPr>
          <w:color w:val="auto"/>
          <w:szCs w:val="24"/>
        </w:rPr>
      </w:pPr>
      <w:r w:rsidRPr="0028303E">
        <w:rPr>
          <w:color w:val="auto"/>
          <w:szCs w:val="24"/>
        </w:rPr>
        <w:t xml:space="preserve">При изпълнението на поръчката ще предоставяме оферти за самолетни билети, в които се съдържа информация за срока на изтичане на самолетната резервация при съответната предложена крайна цена, както и предложена цена на билет, който подлежи на промяна (поради смяна на лицето, периода или отпадане необходимостта от </w:t>
      </w:r>
      <w:r w:rsidR="007724C7">
        <w:rPr>
          <w:color w:val="auto"/>
          <w:szCs w:val="24"/>
        </w:rPr>
        <w:t>пътуването</w:t>
      </w:r>
      <w:r w:rsidRPr="0028303E">
        <w:rPr>
          <w:color w:val="auto"/>
          <w:szCs w:val="24"/>
        </w:rPr>
        <w:t>). Писмено ще информираме възложителя за приложимите тарифи и условия за превоз на свръх багаж, в съответствие с политиката на ави</w:t>
      </w:r>
      <w:r w:rsidR="007D667A">
        <w:rPr>
          <w:color w:val="auto"/>
          <w:szCs w:val="24"/>
        </w:rPr>
        <w:t>окомпанията, изпълняваща полета, както и информация за визовите изисквания на държавата, до която ще се извършва пътуването и информация, относно медицинската застраховка.</w:t>
      </w:r>
    </w:p>
    <w:p w:rsidR="0028303E" w:rsidRPr="0028303E" w:rsidRDefault="0028303E" w:rsidP="0028303E">
      <w:pPr>
        <w:pStyle w:val="2"/>
        <w:numPr>
          <w:ilvl w:val="0"/>
          <w:numId w:val="2"/>
        </w:numPr>
        <w:spacing w:before="60"/>
        <w:rPr>
          <w:color w:val="auto"/>
          <w:szCs w:val="24"/>
        </w:rPr>
      </w:pPr>
      <w:r w:rsidRPr="0028303E">
        <w:rPr>
          <w:color w:val="auto"/>
          <w:szCs w:val="24"/>
        </w:rPr>
        <w:t>Декларирам,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28303E" w:rsidRPr="0028303E" w:rsidRDefault="0028303E" w:rsidP="0028303E">
      <w:pPr>
        <w:pStyle w:val="2"/>
        <w:numPr>
          <w:ilvl w:val="0"/>
          <w:numId w:val="2"/>
        </w:numPr>
        <w:spacing w:before="60"/>
        <w:ind w:left="714" w:hanging="357"/>
        <w:rPr>
          <w:color w:val="auto"/>
          <w:szCs w:val="24"/>
        </w:rPr>
      </w:pPr>
      <w:r w:rsidRPr="0028303E">
        <w:rPr>
          <w:color w:val="auto"/>
          <w:szCs w:val="24"/>
        </w:rPr>
        <w:t>При заявка от страна на възложителя ще осигурим трансфер и/или вътрешен транспорт между летището и резервирания хо</w:t>
      </w:r>
      <w:r>
        <w:rPr>
          <w:color w:val="auto"/>
          <w:szCs w:val="24"/>
        </w:rPr>
        <w:t>тел и/или мястото на събитието.</w:t>
      </w:r>
    </w:p>
    <w:p w:rsidR="0028303E" w:rsidRDefault="0028303E" w:rsidP="0028303E">
      <w:pPr>
        <w:pStyle w:val="2"/>
        <w:numPr>
          <w:ilvl w:val="0"/>
          <w:numId w:val="2"/>
        </w:numPr>
        <w:spacing w:before="120"/>
        <w:rPr>
          <w:szCs w:val="24"/>
        </w:rPr>
      </w:pPr>
      <w:r w:rsidRPr="0028303E">
        <w:rPr>
          <w:color w:val="auto"/>
          <w:szCs w:val="24"/>
        </w:rPr>
        <w:lastRenderedPageBreak/>
        <w:t xml:space="preserve">Ще предоставяме писмен отговор на всяка конкретна заявка за резервация на самолетни билети на възложителя до </w:t>
      </w:r>
      <w:r>
        <w:rPr>
          <w:color w:val="auto"/>
          <w:szCs w:val="24"/>
        </w:rPr>
        <w:t>2</w:t>
      </w:r>
      <w:r w:rsidRPr="0028303E">
        <w:rPr>
          <w:color w:val="auto"/>
          <w:szCs w:val="24"/>
        </w:rPr>
        <w:t xml:space="preserve"> (</w:t>
      </w:r>
      <w:r>
        <w:rPr>
          <w:color w:val="auto"/>
          <w:szCs w:val="24"/>
        </w:rPr>
        <w:t>два</w:t>
      </w:r>
      <w:r w:rsidRPr="0028303E">
        <w:rPr>
          <w:color w:val="auto"/>
          <w:szCs w:val="24"/>
        </w:rPr>
        <w:t>) час след получаването ѝ, в рамките на работното време, с възможност за изпълнение и в по-кратък срок при извънредни обстоятелства.</w:t>
      </w:r>
    </w:p>
    <w:p w:rsidR="0028303E" w:rsidRDefault="0028303E" w:rsidP="0028303E">
      <w:pPr>
        <w:pStyle w:val="a8"/>
        <w:numPr>
          <w:ilvl w:val="0"/>
          <w:numId w:val="2"/>
        </w:numPr>
        <w:spacing w:before="120"/>
        <w:ind w:left="714" w:hanging="357"/>
        <w:jc w:val="both"/>
        <w:rPr>
          <w:noProof/>
        </w:rPr>
      </w:pPr>
      <w:r>
        <w:t xml:space="preserve">Отговорът ще предоставяме по електронна поща след получено потвърждение от </w:t>
      </w:r>
      <w:proofErr w:type="spellStart"/>
      <w:r>
        <w:t>резервационната</w:t>
      </w:r>
      <w:proofErr w:type="spellEnd"/>
      <w:r>
        <w:t xml:space="preserve"> система, който ще съдържа всички възможни директни полети за реализиране на пътуването, а при невъзможност за такива – с минимален брой подходящи връзки за съответните дестинации, като ще представяме </w:t>
      </w:r>
      <w:r>
        <w:rPr>
          <w:bCs/>
        </w:rPr>
        <w:t>най-малко два варианта</w:t>
      </w:r>
      <w:r>
        <w:t xml:space="preserve"> (маршрути и превозвачи) и с възможно най-ниски тарифи на авиокомпаниите към датата на пътуването.</w:t>
      </w:r>
    </w:p>
    <w:p w:rsidR="0028303E" w:rsidRDefault="0028303E" w:rsidP="0028303E">
      <w:pPr>
        <w:numPr>
          <w:ilvl w:val="0"/>
          <w:numId w:val="2"/>
        </w:numPr>
        <w:tabs>
          <w:tab w:val="left" w:pos="284"/>
        </w:tabs>
        <w:spacing w:before="120"/>
        <w:ind w:left="714" w:hanging="357"/>
        <w:jc w:val="both"/>
      </w:pPr>
      <w:r>
        <w:t>Изпълнението на потвърдената заявка на възложителя, отправена чрез електронна поща, за издаване на самолетен билет (включително доставката по електронна поща до възложителя) ще бъде максимум до 24 часа. При спешни случаи, билетите ще се изпращат по електронната поща и в по-кратък срок.</w:t>
      </w:r>
    </w:p>
    <w:p w:rsidR="0028303E" w:rsidRDefault="0028303E" w:rsidP="0028303E">
      <w:pPr>
        <w:numPr>
          <w:ilvl w:val="0"/>
          <w:numId w:val="2"/>
        </w:numPr>
        <w:tabs>
          <w:tab w:val="left" w:pos="284"/>
        </w:tabs>
        <w:spacing w:before="120"/>
        <w:ind w:left="714" w:hanging="357"/>
        <w:jc w:val="both"/>
        <w:rPr>
          <w:noProof/>
        </w:rPr>
      </w:pPr>
      <w:r>
        <w:t xml:space="preserve">В случай на извънредни обстоятелства, независещи от възложителя, или лицата, за които е закупен билета, които не позволяват осъществяването на полета (неблагоприятни атмосферни условия, стачки на авиокомпании и др.), ще осигурим безплатното </w:t>
      </w:r>
      <w:proofErr w:type="spellStart"/>
      <w:r>
        <w:t>презаверяване</w:t>
      </w:r>
      <w:proofErr w:type="spellEnd"/>
      <w:r>
        <w:t xml:space="preserve"> на билета на пътника за първия възможен полет по същия маршрут, при съгласие от страна на пътника или възложителя. В случай на невъзможност, или несъгласие от страна на възложителя, ще осигурим безплатно </w:t>
      </w:r>
      <w:proofErr w:type="spellStart"/>
      <w:r>
        <w:t>премаршрутиране</w:t>
      </w:r>
      <w:proofErr w:type="spellEnd"/>
      <w:r>
        <w:t xml:space="preserve"> на пътника чрез алтернативен полет(и) или възстановяване стойността на закупения билет.</w:t>
      </w:r>
    </w:p>
    <w:p w:rsidR="0028303E" w:rsidRDefault="0028303E" w:rsidP="0028303E">
      <w:pPr>
        <w:numPr>
          <w:ilvl w:val="0"/>
          <w:numId w:val="2"/>
        </w:numPr>
        <w:tabs>
          <w:tab w:val="left" w:pos="284"/>
        </w:tabs>
        <w:spacing w:before="120"/>
        <w:ind w:left="714" w:hanging="357"/>
        <w:jc w:val="both"/>
        <w:rPr>
          <w:noProof/>
        </w:rPr>
      </w:pPr>
      <w:r>
        <w:t>При искане на възложителя ще извършим промяна или анулиране на издадени самолетни билети, съгласно правилата на приложената тарифа или договорени специални изключения с авиокомпаниите, като предварително писмено ще информирам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него.</w:t>
      </w:r>
    </w:p>
    <w:p w:rsidR="0028303E" w:rsidRDefault="0028303E" w:rsidP="0028303E">
      <w:pPr>
        <w:numPr>
          <w:ilvl w:val="0"/>
          <w:numId w:val="2"/>
        </w:numPr>
        <w:tabs>
          <w:tab w:val="left" w:pos="284"/>
        </w:tabs>
        <w:spacing w:before="120"/>
        <w:ind w:left="714" w:hanging="357"/>
        <w:jc w:val="both"/>
        <w:rPr>
          <w:noProof/>
        </w:rPr>
      </w:pPr>
      <w:r>
        <w:t xml:space="preserve">Ще доставяме самолетните билети по електронен път на посочените в договора електронни адреси. При необходимост (по </w:t>
      </w:r>
      <w:proofErr w:type="spellStart"/>
      <w:r>
        <w:t>исканe</w:t>
      </w:r>
      <w:proofErr w:type="spellEnd"/>
      <w:r>
        <w:t xml:space="preserve"> от страна на възложителя) или невъзможност за изпращане на електронен билет, поръчаните билети се доставят на хартиен носител по начина и до местата, определени от възложителя, като доставката е за наша сметка.</w:t>
      </w:r>
    </w:p>
    <w:p w:rsidR="0028303E" w:rsidRDefault="0028303E" w:rsidP="0028303E">
      <w:pPr>
        <w:numPr>
          <w:ilvl w:val="0"/>
          <w:numId w:val="2"/>
        </w:numPr>
        <w:tabs>
          <w:tab w:val="left" w:pos="284"/>
        </w:tabs>
        <w:spacing w:before="120"/>
        <w:ind w:left="714" w:hanging="357"/>
        <w:jc w:val="both"/>
        <w:rPr>
          <w:noProof/>
        </w:rPr>
      </w:pPr>
      <w:r>
        <w:t xml:space="preserve">Гарантираме </w:t>
      </w:r>
      <w:proofErr w:type="spellStart"/>
      <w:r>
        <w:t>конфиденциалност</w:t>
      </w:r>
      <w:proofErr w:type="spellEnd"/>
      <w:r>
        <w:t xml:space="preserve"> на извършваните пътувания, информация относно пътници, дати, маршрути, превозвачи и др. няма да бъде разкривана пред трети лица.</w:t>
      </w:r>
    </w:p>
    <w:p w:rsidR="007D667A" w:rsidRPr="007D667A" w:rsidRDefault="007D667A" w:rsidP="007D667A">
      <w:pPr>
        <w:numPr>
          <w:ilvl w:val="0"/>
          <w:numId w:val="2"/>
        </w:numPr>
        <w:tabs>
          <w:tab w:val="left" w:pos="284"/>
        </w:tabs>
        <w:spacing w:before="120"/>
        <w:ind w:left="714" w:hanging="357"/>
        <w:jc w:val="both"/>
        <w:rPr>
          <w:noProof/>
        </w:rPr>
      </w:pPr>
      <w:r>
        <w:t>П</w:t>
      </w:r>
      <w:r w:rsidR="0028303E">
        <w:t xml:space="preserve">риемаме срокът за изпълнение на обществената поръчка да бъде 1 (една) година, считано от датата на </w:t>
      </w:r>
      <w:r w:rsidR="009B653E">
        <w:t xml:space="preserve">получаване на </w:t>
      </w:r>
      <w:proofErr w:type="spellStart"/>
      <w:r w:rsidR="009B653E">
        <w:t>възлагателно</w:t>
      </w:r>
      <w:proofErr w:type="spellEnd"/>
      <w:r w:rsidR="009B653E">
        <w:t xml:space="preserve"> писмо</w:t>
      </w:r>
      <w:r w:rsidR="002D0494">
        <w:t xml:space="preserve"> от възложителя</w:t>
      </w:r>
      <w:r w:rsidRPr="007D667A">
        <w:rPr>
          <w:rFonts w:eastAsia="Times New Roman"/>
          <w:lang w:eastAsia="en-US"/>
        </w:rPr>
        <w:t xml:space="preserve"> или до достигане на максимално д</w:t>
      </w:r>
      <w:r>
        <w:rPr>
          <w:rFonts w:eastAsia="Times New Roman"/>
          <w:lang w:eastAsia="en-US"/>
        </w:rPr>
        <w:t>опустимата стойност на договора</w:t>
      </w:r>
      <w:r w:rsidRPr="007D667A">
        <w:rPr>
          <w:rFonts w:eastAsia="Times New Roman"/>
          <w:lang w:eastAsia="en-US"/>
        </w:rPr>
        <w:t>, в зависимост от това кое от двете събития настъпи по-рано.</w:t>
      </w:r>
    </w:p>
    <w:p w:rsidR="0028303E" w:rsidRDefault="0028303E" w:rsidP="007D667A">
      <w:pPr>
        <w:numPr>
          <w:ilvl w:val="0"/>
          <w:numId w:val="2"/>
        </w:numPr>
        <w:tabs>
          <w:tab w:val="left" w:pos="284"/>
        </w:tabs>
        <w:spacing w:before="120"/>
        <w:ind w:left="714" w:hanging="357"/>
        <w:jc w:val="both"/>
        <w:rPr>
          <w:noProof/>
        </w:rPr>
      </w:pPr>
      <w:r>
        <w:t>Декларирам</w:t>
      </w:r>
      <w:r w:rsidR="006D76E6">
        <w:t>е</w:t>
      </w:r>
      <w:r>
        <w:t>, че сме съгласни с всички клаузи на предложения от възложителя проект на договор.</w:t>
      </w:r>
    </w:p>
    <w:p w:rsidR="004C6BE9" w:rsidRDefault="004C6BE9" w:rsidP="004C6BE9">
      <w:pPr>
        <w:tabs>
          <w:tab w:val="left" w:pos="284"/>
        </w:tabs>
        <w:spacing w:before="120"/>
        <w:ind w:left="714"/>
        <w:jc w:val="both"/>
        <w:rPr>
          <w:noProof/>
        </w:rPr>
      </w:pPr>
    </w:p>
    <w:p w:rsidR="004C6BE9" w:rsidRDefault="004C6BE9" w:rsidP="004C6BE9">
      <w:pPr>
        <w:tabs>
          <w:tab w:val="left" w:pos="284"/>
        </w:tabs>
        <w:spacing w:before="120"/>
        <w:ind w:left="714"/>
        <w:jc w:val="both"/>
        <w:rPr>
          <w:noProof/>
        </w:rPr>
      </w:pPr>
    </w:p>
    <w:p w:rsidR="004C6BE9" w:rsidRDefault="004C6BE9" w:rsidP="004C6BE9">
      <w:pPr>
        <w:tabs>
          <w:tab w:val="left" w:pos="284"/>
        </w:tabs>
        <w:spacing w:before="120"/>
        <w:ind w:left="714"/>
        <w:jc w:val="both"/>
        <w:rPr>
          <w:noProof/>
        </w:rPr>
      </w:pPr>
    </w:p>
    <w:p w:rsidR="00DC47F4" w:rsidRPr="004C6BE9" w:rsidRDefault="0028303E" w:rsidP="004C6BE9">
      <w:pPr>
        <w:numPr>
          <w:ilvl w:val="0"/>
          <w:numId w:val="2"/>
        </w:numPr>
        <w:tabs>
          <w:tab w:val="left" w:pos="284"/>
        </w:tabs>
        <w:spacing w:before="120"/>
        <w:ind w:left="714" w:hanging="357"/>
        <w:jc w:val="both"/>
        <w:rPr>
          <w:noProof/>
        </w:rPr>
      </w:pPr>
      <w:r>
        <w:lastRenderedPageBreak/>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Style w:val="af"/>
        </w:rPr>
        <w:footnoteReference w:id="1"/>
      </w:r>
      <w:r>
        <w:t>.</w:t>
      </w:r>
    </w:p>
    <w:p w:rsidR="005635F8" w:rsidRPr="004C6BE9" w:rsidRDefault="005635F8" w:rsidP="004C6BE9">
      <w:pPr>
        <w:pStyle w:val="a8"/>
        <w:numPr>
          <w:ilvl w:val="0"/>
          <w:numId w:val="2"/>
        </w:numPr>
        <w:jc w:val="both"/>
        <w:rPr>
          <w:rFonts w:eastAsia="Times New Roman"/>
          <w:i/>
          <w:lang w:eastAsia="bg-BG"/>
        </w:rPr>
      </w:pPr>
      <w:r w:rsidRPr="004C6BE9">
        <w:rPr>
          <w:rFonts w:eastAsia="Times New Roman"/>
          <w:bCs/>
          <w:lang w:eastAsia="bg-BG"/>
        </w:rPr>
        <w:t>Приемам срокът на валидност на офертата да бъде до 08.</w:t>
      </w:r>
      <w:proofErr w:type="spellStart"/>
      <w:r w:rsidRPr="004C6BE9">
        <w:rPr>
          <w:rFonts w:eastAsia="Times New Roman"/>
          <w:bCs/>
          <w:lang w:eastAsia="bg-BG"/>
        </w:rPr>
        <w:t>08</w:t>
      </w:r>
      <w:proofErr w:type="spellEnd"/>
      <w:r w:rsidRPr="004C6BE9">
        <w:rPr>
          <w:rFonts w:eastAsia="Times New Roman"/>
          <w:bCs/>
          <w:lang w:eastAsia="bg-BG"/>
        </w:rPr>
        <w:t>.2017 г</w:t>
      </w:r>
      <w:r w:rsidRPr="004C6BE9">
        <w:rPr>
          <w:rFonts w:eastAsia="Times New Roman"/>
          <w:i/>
          <w:lang w:eastAsia="bg-BG"/>
        </w:rPr>
        <w:t>.</w:t>
      </w:r>
    </w:p>
    <w:p w:rsidR="005635F8" w:rsidRDefault="005635F8" w:rsidP="00DC47F4">
      <w:pPr>
        <w:autoSpaceDE w:val="0"/>
        <w:autoSpaceDN w:val="0"/>
        <w:adjustRightInd w:val="0"/>
        <w:spacing w:line="276" w:lineRule="auto"/>
        <w:ind w:firstLine="709"/>
        <w:jc w:val="both"/>
      </w:pPr>
    </w:p>
    <w:p w:rsidR="00DC47F4" w:rsidRDefault="00DC47F4" w:rsidP="00DC47F4">
      <w:pPr>
        <w:autoSpaceDE w:val="0"/>
        <w:autoSpaceDN w:val="0"/>
        <w:adjustRightInd w:val="0"/>
        <w:spacing w:line="276" w:lineRule="auto"/>
        <w:jc w:val="both"/>
      </w:pPr>
    </w:p>
    <w:p w:rsidR="00677724" w:rsidRDefault="00677724" w:rsidP="00DC47F4">
      <w:pPr>
        <w:autoSpaceDE w:val="0"/>
        <w:autoSpaceDN w:val="0"/>
        <w:adjustRightInd w:val="0"/>
        <w:spacing w:line="276" w:lineRule="auto"/>
        <w:jc w:val="both"/>
      </w:pPr>
    </w:p>
    <w:tbl>
      <w:tblPr>
        <w:tblW w:w="0" w:type="auto"/>
        <w:tblLook w:val="01E0" w:firstRow="1" w:lastRow="1" w:firstColumn="1" w:lastColumn="1" w:noHBand="0" w:noVBand="0"/>
      </w:tblPr>
      <w:tblGrid>
        <w:gridCol w:w="4606"/>
        <w:gridCol w:w="4606"/>
      </w:tblGrid>
      <w:tr w:rsidR="00677724" w:rsidRPr="00677724" w:rsidTr="00616226">
        <w:trPr>
          <w:trHeight w:val="268"/>
        </w:trPr>
        <w:tc>
          <w:tcPr>
            <w:tcW w:w="4606" w:type="dxa"/>
          </w:tcPr>
          <w:p w:rsidR="00677724" w:rsidRPr="00677724" w:rsidRDefault="00677724" w:rsidP="00677724">
            <w:pPr>
              <w:tabs>
                <w:tab w:val="left" w:leader="dot" w:pos="9850"/>
              </w:tabs>
              <w:overflowPunct w:val="0"/>
              <w:autoSpaceDE w:val="0"/>
              <w:autoSpaceDN w:val="0"/>
              <w:adjustRightInd w:val="0"/>
              <w:textAlignment w:val="baseline"/>
              <w:rPr>
                <w:rFonts w:eastAsia="Times New Roman"/>
                <w:b/>
                <w:iCs/>
                <w:color w:val="000000"/>
                <w:lang w:eastAsia="en-US"/>
              </w:rPr>
            </w:pPr>
            <w:r w:rsidRPr="00677724">
              <w:rPr>
                <w:rFonts w:eastAsia="Times New Roman"/>
                <w:b/>
                <w:iCs/>
                <w:color w:val="000000"/>
                <w:lang w:eastAsia="en-US"/>
              </w:rPr>
              <w:t>Дата:</w:t>
            </w:r>
          </w:p>
        </w:tc>
        <w:tc>
          <w:tcPr>
            <w:tcW w:w="4606" w:type="dxa"/>
          </w:tcPr>
          <w:p w:rsidR="00677724" w:rsidRPr="00677724" w:rsidRDefault="00677724" w:rsidP="00677724">
            <w:pPr>
              <w:tabs>
                <w:tab w:val="left" w:leader="dot" w:pos="9850"/>
              </w:tabs>
              <w:overflowPunct w:val="0"/>
              <w:autoSpaceDE w:val="0"/>
              <w:autoSpaceDN w:val="0"/>
              <w:adjustRightInd w:val="0"/>
              <w:textAlignment w:val="baseline"/>
              <w:rPr>
                <w:rFonts w:eastAsia="Times New Roman"/>
                <w:b/>
                <w:i/>
                <w:iCs/>
                <w:color w:val="000000"/>
                <w:lang w:eastAsia="en-US"/>
              </w:rPr>
            </w:pPr>
          </w:p>
        </w:tc>
      </w:tr>
      <w:tr w:rsidR="00677724" w:rsidRPr="00677724" w:rsidTr="00616226">
        <w:tc>
          <w:tcPr>
            <w:tcW w:w="4606" w:type="dxa"/>
          </w:tcPr>
          <w:p w:rsidR="00677724" w:rsidRPr="00677724" w:rsidRDefault="00677724" w:rsidP="00677724">
            <w:pPr>
              <w:tabs>
                <w:tab w:val="left" w:leader="dot" w:pos="9850"/>
              </w:tabs>
              <w:overflowPunct w:val="0"/>
              <w:autoSpaceDE w:val="0"/>
              <w:autoSpaceDN w:val="0"/>
              <w:adjustRightInd w:val="0"/>
              <w:textAlignment w:val="baseline"/>
              <w:rPr>
                <w:rFonts w:eastAsia="Times New Roman"/>
                <w:b/>
                <w:iCs/>
                <w:color w:val="000000"/>
                <w:lang w:eastAsia="en-US"/>
              </w:rPr>
            </w:pPr>
            <w:r w:rsidRPr="00677724">
              <w:rPr>
                <w:rFonts w:eastAsia="Times New Roman"/>
                <w:b/>
                <w:iCs/>
                <w:color w:val="000000"/>
                <w:lang w:eastAsia="en-US"/>
              </w:rPr>
              <w:t>Три имена:</w:t>
            </w:r>
          </w:p>
        </w:tc>
        <w:tc>
          <w:tcPr>
            <w:tcW w:w="4606" w:type="dxa"/>
          </w:tcPr>
          <w:p w:rsidR="00677724" w:rsidRPr="00677724" w:rsidRDefault="00677724" w:rsidP="00677724">
            <w:pPr>
              <w:tabs>
                <w:tab w:val="left" w:leader="dot" w:pos="9850"/>
              </w:tabs>
              <w:overflowPunct w:val="0"/>
              <w:autoSpaceDE w:val="0"/>
              <w:autoSpaceDN w:val="0"/>
              <w:adjustRightInd w:val="0"/>
              <w:textAlignment w:val="baseline"/>
              <w:rPr>
                <w:rFonts w:eastAsia="Times New Roman"/>
                <w:b/>
                <w:i/>
                <w:iCs/>
                <w:color w:val="000000"/>
                <w:lang w:eastAsia="en-US"/>
              </w:rPr>
            </w:pPr>
          </w:p>
        </w:tc>
      </w:tr>
      <w:tr w:rsidR="00677724" w:rsidRPr="00677724" w:rsidTr="00616226">
        <w:tc>
          <w:tcPr>
            <w:tcW w:w="4606" w:type="dxa"/>
          </w:tcPr>
          <w:p w:rsidR="00677724" w:rsidRPr="00677724" w:rsidRDefault="00677724" w:rsidP="00677724">
            <w:pPr>
              <w:overflowPunct w:val="0"/>
              <w:autoSpaceDE w:val="0"/>
              <w:autoSpaceDN w:val="0"/>
              <w:adjustRightInd w:val="0"/>
              <w:textAlignment w:val="baseline"/>
              <w:rPr>
                <w:rFonts w:eastAsia="Times New Roman"/>
                <w:b/>
                <w:lang w:eastAsia="en-US"/>
              </w:rPr>
            </w:pPr>
            <w:r w:rsidRPr="00677724">
              <w:rPr>
                <w:rFonts w:eastAsia="Times New Roman"/>
                <w:b/>
                <w:lang w:eastAsia="en-US"/>
              </w:rPr>
              <w:t>Качество, в което лицето подписва предложението:</w:t>
            </w:r>
          </w:p>
        </w:tc>
        <w:tc>
          <w:tcPr>
            <w:tcW w:w="4606" w:type="dxa"/>
          </w:tcPr>
          <w:p w:rsidR="00677724" w:rsidRPr="00677724" w:rsidRDefault="00677724" w:rsidP="00677724">
            <w:pPr>
              <w:overflowPunct w:val="0"/>
              <w:autoSpaceDE w:val="0"/>
              <w:autoSpaceDN w:val="0"/>
              <w:adjustRightInd w:val="0"/>
              <w:textAlignment w:val="baseline"/>
              <w:rPr>
                <w:rFonts w:eastAsia="Times New Roman"/>
                <w:b/>
                <w:lang w:eastAsia="en-US"/>
              </w:rPr>
            </w:pPr>
          </w:p>
        </w:tc>
      </w:tr>
    </w:tbl>
    <w:p w:rsidR="00677724" w:rsidRPr="00677724" w:rsidRDefault="00677724" w:rsidP="00677724">
      <w:pPr>
        <w:jc w:val="both"/>
        <w:rPr>
          <w:rFonts w:eastAsia="Times New Roman"/>
          <w:lang w:eastAsia="bg-BG"/>
        </w:rPr>
      </w:pPr>
      <w:r w:rsidRPr="00677724">
        <w:rPr>
          <w:rFonts w:eastAsia="Times New Roman"/>
          <w:b/>
          <w:lang w:eastAsia="en-US"/>
        </w:rPr>
        <w:t>Подпис:</w:t>
      </w:r>
    </w:p>
    <w:p w:rsidR="00677724" w:rsidRPr="00677724" w:rsidRDefault="00677724" w:rsidP="00677724">
      <w:pPr>
        <w:rPr>
          <w:rFonts w:eastAsia="Times New Roman"/>
          <w:lang w:eastAsia="bg-BG"/>
        </w:rPr>
      </w:pPr>
      <w:r w:rsidRPr="00677724">
        <w:rPr>
          <w:rFonts w:eastAsia="Times New Roman"/>
          <w:lang w:eastAsia="bg-BG"/>
        </w:rPr>
        <w:t xml:space="preserve"> </w:t>
      </w:r>
    </w:p>
    <w:p w:rsidR="00DC47F4" w:rsidRDefault="00DC47F4" w:rsidP="00677724">
      <w:pPr>
        <w:pStyle w:val="a8"/>
        <w:spacing w:line="276" w:lineRule="auto"/>
        <w:rPr>
          <w:b/>
          <w:i/>
        </w:rPr>
      </w:pPr>
    </w:p>
    <w:p w:rsidR="00DC47F4" w:rsidRDefault="00DC47F4" w:rsidP="00DC47F4">
      <w:pPr>
        <w:pStyle w:val="a8"/>
        <w:spacing w:line="276" w:lineRule="auto"/>
        <w:jc w:val="right"/>
        <w:rPr>
          <w:b/>
          <w:i/>
        </w:rPr>
      </w:pPr>
    </w:p>
    <w:p w:rsidR="001F7E24" w:rsidRDefault="001F7E24"/>
    <w:sectPr w:rsidR="001F7E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C4" w:rsidRDefault="00994AC4" w:rsidP="00DC47F4">
      <w:r>
        <w:separator/>
      </w:r>
    </w:p>
  </w:endnote>
  <w:endnote w:type="continuationSeparator" w:id="0">
    <w:p w:rsidR="00994AC4" w:rsidRDefault="00994AC4" w:rsidP="00DC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C4" w:rsidRDefault="00994AC4" w:rsidP="00DC47F4">
      <w:r>
        <w:separator/>
      </w:r>
    </w:p>
  </w:footnote>
  <w:footnote w:type="continuationSeparator" w:id="0">
    <w:p w:rsidR="00994AC4" w:rsidRDefault="00994AC4" w:rsidP="00DC47F4">
      <w:r>
        <w:continuationSeparator/>
      </w:r>
    </w:p>
  </w:footnote>
  <w:footnote w:id="1">
    <w:p w:rsidR="0028303E" w:rsidRDefault="0028303E" w:rsidP="0028303E">
      <w:pPr>
        <w:ind w:left="-284" w:right="-284"/>
        <w:jc w:val="both"/>
        <w:rPr>
          <w:iCs/>
          <w:sz w:val="20"/>
          <w:szCs w:val="20"/>
        </w:rPr>
      </w:pPr>
      <w:r>
        <w:rPr>
          <w:rStyle w:val="af"/>
        </w:rPr>
        <w:footnoteRef/>
      </w:r>
      <w:r>
        <w:t xml:space="preserve"> </w:t>
      </w:r>
      <w:r>
        <w:rPr>
          <w:iCs/>
          <w:sz w:val="20"/>
          <w:szCs w:val="20"/>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28303E" w:rsidRDefault="0028303E" w:rsidP="0028303E">
      <w:pPr>
        <w:ind w:left="-284" w:right="-284"/>
        <w:jc w:val="both"/>
        <w:rPr>
          <w:b/>
          <w:bCs/>
          <w:iCs/>
          <w:sz w:val="20"/>
          <w:szCs w:val="20"/>
        </w:rPr>
      </w:pPr>
      <w:r>
        <w:rPr>
          <w:b/>
          <w:bCs/>
          <w:iCs/>
          <w:sz w:val="20"/>
          <w:szCs w:val="20"/>
        </w:rPr>
        <w:t xml:space="preserve">Относно задълженията, свързани с данъци и осигуровки – </w:t>
      </w:r>
      <w:r>
        <w:rPr>
          <w:iCs/>
          <w:sz w:val="20"/>
          <w:szCs w:val="20"/>
        </w:rPr>
        <w:t>Национална агенция по приходите</w:t>
      </w:r>
    </w:p>
    <w:p w:rsidR="0028303E" w:rsidRDefault="0028303E" w:rsidP="0028303E">
      <w:pPr>
        <w:ind w:left="-284" w:right="-284"/>
        <w:jc w:val="both"/>
        <w:rPr>
          <w:iCs/>
          <w:sz w:val="20"/>
          <w:szCs w:val="20"/>
        </w:rPr>
      </w:pPr>
      <w:r>
        <w:rPr>
          <w:iCs/>
          <w:sz w:val="20"/>
          <w:szCs w:val="20"/>
        </w:rPr>
        <w:t xml:space="preserve">Информационен телефон на НАП - 0700 18 700; интернет адрес: </w:t>
      </w:r>
      <w:proofErr w:type="spellStart"/>
      <w:r>
        <w:rPr>
          <w:iCs/>
          <w:sz w:val="20"/>
          <w:szCs w:val="20"/>
        </w:rPr>
        <w:t>www</w:t>
      </w:r>
      <w:proofErr w:type="spellEnd"/>
      <w:r>
        <w:rPr>
          <w:iCs/>
          <w:sz w:val="20"/>
          <w:szCs w:val="20"/>
        </w:rPr>
        <w:t>.</w:t>
      </w:r>
      <w:proofErr w:type="spellStart"/>
      <w:r>
        <w:rPr>
          <w:iCs/>
          <w:sz w:val="20"/>
          <w:szCs w:val="20"/>
        </w:rPr>
        <w:t>nap</w:t>
      </w:r>
      <w:proofErr w:type="spellEnd"/>
      <w:r>
        <w:rPr>
          <w:iCs/>
          <w:sz w:val="20"/>
          <w:szCs w:val="20"/>
        </w:rPr>
        <w:t>.</w:t>
      </w:r>
      <w:proofErr w:type="spellStart"/>
      <w:r>
        <w:rPr>
          <w:iCs/>
          <w:sz w:val="20"/>
          <w:szCs w:val="20"/>
        </w:rPr>
        <w:t>bg</w:t>
      </w:r>
      <w:proofErr w:type="spellEnd"/>
    </w:p>
    <w:p w:rsidR="0028303E" w:rsidRDefault="0028303E" w:rsidP="0028303E">
      <w:pPr>
        <w:ind w:left="-284" w:right="-284"/>
        <w:jc w:val="both"/>
        <w:rPr>
          <w:b/>
          <w:bCs/>
          <w:iCs/>
          <w:sz w:val="20"/>
          <w:szCs w:val="20"/>
        </w:rPr>
      </w:pPr>
      <w:r>
        <w:rPr>
          <w:b/>
          <w:bCs/>
          <w:iCs/>
          <w:sz w:val="20"/>
          <w:szCs w:val="20"/>
        </w:rPr>
        <w:t xml:space="preserve">Относно задълженията, опазване на околната среда – </w:t>
      </w:r>
      <w:r>
        <w:rPr>
          <w:iCs/>
          <w:sz w:val="20"/>
          <w:szCs w:val="20"/>
        </w:rPr>
        <w:t>Министерство на околната среда и водите</w:t>
      </w:r>
    </w:p>
    <w:p w:rsidR="0028303E" w:rsidRDefault="0028303E" w:rsidP="0028303E">
      <w:pPr>
        <w:ind w:left="-284" w:right="-284"/>
        <w:jc w:val="both"/>
        <w:rPr>
          <w:iCs/>
          <w:sz w:val="20"/>
          <w:szCs w:val="20"/>
        </w:rPr>
      </w:pPr>
      <w:r>
        <w:rPr>
          <w:iCs/>
          <w:sz w:val="20"/>
          <w:szCs w:val="20"/>
        </w:rPr>
        <w:t>Интернет адрес: http://www3.moew.government.bg/</w:t>
      </w:r>
    </w:p>
    <w:p w:rsidR="0028303E" w:rsidRDefault="0028303E" w:rsidP="0028303E">
      <w:pPr>
        <w:ind w:left="-284" w:right="-284"/>
        <w:jc w:val="both"/>
        <w:rPr>
          <w:b/>
          <w:bCs/>
          <w:iCs/>
          <w:sz w:val="20"/>
          <w:szCs w:val="20"/>
        </w:rPr>
      </w:pPr>
      <w:r>
        <w:rPr>
          <w:b/>
          <w:bCs/>
          <w:iCs/>
          <w:sz w:val="20"/>
          <w:szCs w:val="20"/>
        </w:rPr>
        <w:t xml:space="preserve">Относно задълженията, закрила на заетостта и условията на труд – </w:t>
      </w:r>
      <w:r>
        <w:rPr>
          <w:iCs/>
          <w:sz w:val="20"/>
          <w:szCs w:val="20"/>
        </w:rPr>
        <w:t>Министерство на труда и социалната политика</w:t>
      </w:r>
    </w:p>
    <w:p w:rsidR="0028303E" w:rsidRDefault="0028303E" w:rsidP="0028303E">
      <w:pPr>
        <w:ind w:left="-284" w:right="-284"/>
        <w:jc w:val="both"/>
        <w:rPr>
          <w:iCs/>
          <w:sz w:val="20"/>
          <w:szCs w:val="20"/>
        </w:rPr>
      </w:pPr>
      <w:r>
        <w:rPr>
          <w:iCs/>
          <w:sz w:val="20"/>
          <w:szCs w:val="20"/>
        </w:rPr>
        <w:t>Интернет адрес: http://www.mlsp.government.bg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F4" w:rsidRDefault="00DC47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17A7"/>
    <w:multiLevelType w:val="multilevel"/>
    <w:tmpl w:val="1FBE0A2E"/>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60A60638"/>
    <w:multiLevelType w:val="multilevel"/>
    <w:tmpl w:val="1FBE0A2E"/>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6EBC76AE"/>
    <w:multiLevelType w:val="hybridMultilevel"/>
    <w:tmpl w:val="D9B826F8"/>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90"/>
    <w:rsid w:val="001F7E24"/>
    <w:rsid w:val="0028303E"/>
    <w:rsid w:val="00286CD4"/>
    <w:rsid w:val="002A6524"/>
    <w:rsid w:val="002D0494"/>
    <w:rsid w:val="0031045F"/>
    <w:rsid w:val="003375C0"/>
    <w:rsid w:val="003E3CA4"/>
    <w:rsid w:val="004C6BE9"/>
    <w:rsid w:val="005635F8"/>
    <w:rsid w:val="00677724"/>
    <w:rsid w:val="006D76E6"/>
    <w:rsid w:val="007724C7"/>
    <w:rsid w:val="007A2281"/>
    <w:rsid w:val="007D667A"/>
    <w:rsid w:val="00851579"/>
    <w:rsid w:val="008B7B90"/>
    <w:rsid w:val="00994AC4"/>
    <w:rsid w:val="009B653E"/>
    <w:rsid w:val="00A61524"/>
    <w:rsid w:val="00BA09BD"/>
    <w:rsid w:val="00CD685D"/>
    <w:rsid w:val="00DC47F4"/>
    <w:rsid w:val="00E61B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F4"/>
    <w:pPr>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7F4"/>
    <w:rPr>
      <w:color w:val="0000FF" w:themeColor="hyperlink"/>
      <w:u w:val="single"/>
    </w:rPr>
  </w:style>
  <w:style w:type="paragraph" w:styleId="a4">
    <w:name w:val="Title"/>
    <w:basedOn w:val="a"/>
    <w:link w:val="a5"/>
    <w:qFormat/>
    <w:rsid w:val="00DC47F4"/>
    <w:pPr>
      <w:jc w:val="center"/>
    </w:pPr>
    <w:rPr>
      <w:rFonts w:ascii="TmsCyr" w:hAnsi="TmsCyr"/>
      <w:b/>
      <w:sz w:val="28"/>
      <w:szCs w:val="20"/>
      <w:u w:val="single"/>
      <w:lang w:eastAsia="bg-BG"/>
    </w:rPr>
  </w:style>
  <w:style w:type="character" w:customStyle="1" w:styleId="a5">
    <w:name w:val="Заглавие Знак"/>
    <w:basedOn w:val="a0"/>
    <w:link w:val="a4"/>
    <w:rsid w:val="00DC47F4"/>
    <w:rPr>
      <w:rFonts w:ascii="TmsCyr" w:eastAsia="Calibri" w:hAnsi="TmsCyr" w:cs="Times New Roman"/>
      <w:b/>
      <w:sz w:val="28"/>
      <w:szCs w:val="20"/>
      <w:u w:val="single"/>
      <w:lang w:eastAsia="bg-BG"/>
    </w:rPr>
  </w:style>
  <w:style w:type="paragraph" w:styleId="a6">
    <w:name w:val="Body Text"/>
    <w:basedOn w:val="a"/>
    <w:link w:val="a7"/>
    <w:semiHidden/>
    <w:unhideWhenUsed/>
    <w:rsid w:val="00DC47F4"/>
    <w:pPr>
      <w:spacing w:after="120"/>
    </w:pPr>
    <w:rPr>
      <w:sz w:val="20"/>
      <w:szCs w:val="20"/>
      <w:lang w:val="en-AU"/>
    </w:rPr>
  </w:style>
  <w:style w:type="character" w:customStyle="1" w:styleId="a7">
    <w:name w:val="Основен текст Знак"/>
    <w:basedOn w:val="a0"/>
    <w:link w:val="a6"/>
    <w:semiHidden/>
    <w:rsid w:val="00DC47F4"/>
    <w:rPr>
      <w:rFonts w:ascii="Times New Roman" w:eastAsia="Calibri" w:hAnsi="Times New Roman" w:cs="Times New Roman"/>
      <w:sz w:val="20"/>
      <w:szCs w:val="20"/>
      <w:lang w:val="en-AU" w:eastAsia="ar-SA"/>
    </w:rPr>
  </w:style>
  <w:style w:type="paragraph" w:styleId="2">
    <w:name w:val="Body Text 2"/>
    <w:basedOn w:val="a"/>
    <w:link w:val="20"/>
    <w:semiHidden/>
    <w:unhideWhenUsed/>
    <w:rsid w:val="00DC47F4"/>
    <w:pPr>
      <w:jc w:val="both"/>
    </w:pPr>
    <w:rPr>
      <w:color w:val="FF00FF"/>
      <w:szCs w:val="20"/>
    </w:rPr>
  </w:style>
  <w:style w:type="character" w:customStyle="1" w:styleId="20">
    <w:name w:val="Основен текст 2 Знак"/>
    <w:basedOn w:val="a0"/>
    <w:link w:val="2"/>
    <w:semiHidden/>
    <w:rsid w:val="00DC47F4"/>
    <w:rPr>
      <w:rFonts w:ascii="Times New Roman" w:eastAsia="Calibri" w:hAnsi="Times New Roman" w:cs="Times New Roman"/>
      <w:color w:val="FF00FF"/>
      <w:sz w:val="24"/>
      <w:szCs w:val="20"/>
      <w:lang w:eastAsia="ar-SA"/>
    </w:rPr>
  </w:style>
  <w:style w:type="paragraph" w:styleId="a8">
    <w:name w:val="List Paragraph"/>
    <w:basedOn w:val="a"/>
    <w:uiPriority w:val="99"/>
    <w:qFormat/>
    <w:rsid w:val="00DC47F4"/>
    <w:pPr>
      <w:ind w:left="720"/>
      <w:contextualSpacing/>
    </w:pPr>
  </w:style>
  <w:style w:type="paragraph" w:styleId="a9">
    <w:name w:val="header"/>
    <w:basedOn w:val="a"/>
    <w:link w:val="aa"/>
    <w:uiPriority w:val="99"/>
    <w:unhideWhenUsed/>
    <w:rsid w:val="00DC47F4"/>
    <w:pPr>
      <w:tabs>
        <w:tab w:val="center" w:pos="4536"/>
        <w:tab w:val="right" w:pos="9072"/>
      </w:tabs>
    </w:pPr>
  </w:style>
  <w:style w:type="character" w:customStyle="1" w:styleId="aa">
    <w:name w:val="Горен колонтитул Знак"/>
    <w:basedOn w:val="a0"/>
    <w:link w:val="a9"/>
    <w:uiPriority w:val="99"/>
    <w:rsid w:val="00DC47F4"/>
    <w:rPr>
      <w:rFonts w:ascii="Times New Roman" w:eastAsia="Calibri" w:hAnsi="Times New Roman" w:cs="Times New Roman"/>
      <w:sz w:val="24"/>
      <w:szCs w:val="24"/>
      <w:lang w:eastAsia="ar-SA"/>
    </w:rPr>
  </w:style>
  <w:style w:type="paragraph" w:styleId="ab">
    <w:name w:val="footer"/>
    <w:basedOn w:val="a"/>
    <w:link w:val="ac"/>
    <w:uiPriority w:val="99"/>
    <w:unhideWhenUsed/>
    <w:rsid w:val="00DC47F4"/>
    <w:pPr>
      <w:tabs>
        <w:tab w:val="center" w:pos="4536"/>
        <w:tab w:val="right" w:pos="9072"/>
      </w:tabs>
    </w:pPr>
  </w:style>
  <w:style w:type="character" w:customStyle="1" w:styleId="ac">
    <w:name w:val="Долен колонтитул Знак"/>
    <w:basedOn w:val="a0"/>
    <w:link w:val="ab"/>
    <w:uiPriority w:val="99"/>
    <w:rsid w:val="00DC47F4"/>
    <w:rPr>
      <w:rFonts w:ascii="Times New Roman" w:eastAsia="Calibri" w:hAnsi="Times New Roman" w:cs="Times New Roman"/>
      <w:sz w:val="24"/>
      <w:szCs w:val="24"/>
      <w:lang w:eastAsia="ar-SA"/>
    </w:rPr>
  </w:style>
  <w:style w:type="paragraph" w:styleId="ad">
    <w:name w:val="Balloon Text"/>
    <w:basedOn w:val="a"/>
    <w:link w:val="ae"/>
    <w:uiPriority w:val="99"/>
    <w:semiHidden/>
    <w:unhideWhenUsed/>
    <w:rsid w:val="00286CD4"/>
    <w:rPr>
      <w:rFonts w:ascii="Tahoma" w:hAnsi="Tahoma" w:cs="Tahoma"/>
      <w:sz w:val="16"/>
      <w:szCs w:val="16"/>
    </w:rPr>
  </w:style>
  <w:style w:type="character" w:customStyle="1" w:styleId="ae">
    <w:name w:val="Изнесен текст Знак"/>
    <w:basedOn w:val="a0"/>
    <w:link w:val="ad"/>
    <w:uiPriority w:val="99"/>
    <w:semiHidden/>
    <w:rsid w:val="00286CD4"/>
    <w:rPr>
      <w:rFonts w:ascii="Tahoma" w:eastAsia="Calibri" w:hAnsi="Tahoma" w:cs="Tahoma"/>
      <w:sz w:val="16"/>
      <w:szCs w:val="16"/>
      <w:lang w:eastAsia="ar-SA"/>
    </w:rPr>
  </w:style>
  <w:style w:type="character" w:styleId="af">
    <w:name w:val="footnote reference"/>
    <w:aliases w:val="Footnote symbol"/>
    <w:semiHidden/>
    <w:unhideWhenUsed/>
    <w:rsid w:val="00283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F4"/>
    <w:pPr>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7F4"/>
    <w:rPr>
      <w:color w:val="0000FF" w:themeColor="hyperlink"/>
      <w:u w:val="single"/>
    </w:rPr>
  </w:style>
  <w:style w:type="paragraph" w:styleId="a4">
    <w:name w:val="Title"/>
    <w:basedOn w:val="a"/>
    <w:link w:val="a5"/>
    <w:qFormat/>
    <w:rsid w:val="00DC47F4"/>
    <w:pPr>
      <w:jc w:val="center"/>
    </w:pPr>
    <w:rPr>
      <w:rFonts w:ascii="TmsCyr" w:hAnsi="TmsCyr"/>
      <w:b/>
      <w:sz w:val="28"/>
      <w:szCs w:val="20"/>
      <w:u w:val="single"/>
      <w:lang w:eastAsia="bg-BG"/>
    </w:rPr>
  </w:style>
  <w:style w:type="character" w:customStyle="1" w:styleId="a5">
    <w:name w:val="Заглавие Знак"/>
    <w:basedOn w:val="a0"/>
    <w:link w:val="a4"/>
    <w:rsid w:val="00DC47F4"/>
    <w:rPr>
      <w:rFonts w:ascii="TmsCyr" w:eastAsia="Calibri" w:hAnsi="TmsCyr" w:cs="Times New Roman"/>
      <w:b/>
      <w:sz w:val="28"/>
      <w:szCs w:val="20"/>
      <w:u w:val="single"/>
      <w:lang w:eastAsia="bg-BG"/>
    </w:rPr>
  </w:style>
  <w:style w:type="paragraph" w:styleId="a6">
    <w:name w:val="Body Text"/>
    <w:basedOn w:val="a"/>
    <w:link w:val="a7"/>
    <w:semiHidden/>
    <w:unhideWhenUsed/>
    <w:rsid w:val="00DC47F4"/>
    <w:pPr>
      <w:spacing w:after="120"/>
    </w:pPr>
    <w:rPr>
      <w:sz w:val="20"/>
      <w:szCs w:val="20"/>
      <w:lang w:val="en-AU"/>
    </w:rPr>
  </w:style>
  <w:style w:type="character" w:customStyle="1" w:styleId="a7">
    <w:name w:val="Основен текст Знак"/>
    <w:basedOn w:val="a0"/>
    <w:link w:val="a6"/>
    <w:semiHidden/>
    <w:rsid w:val="00DC47F4"/>
    <w:rPr>
      <w:rFonts w:ascii="Times New Roman" w:eastAsia="Calibri" w:hAnsi="Times New Roman" w:cs="Times New Roman"/>
      <w:sz w:val="20"/>
      <w:szCs w:val="20"/>
      <w:lang w:val="en-AU" w:eastAsia="ar-SA"/>
    </w:rPr>
  </w:style>
  <w:style w:type="paragraph" w:styleId="2">
    <w:name w:val="Body Text 2"/>
    <w:basedOn w:val="a"/>
    <w:link w:val="20"/>
    <w:semiHidden/>
    <w:unhideWhenUsed/>
    <w:rsid w:val="00DC47F4"/>
    <w:pPr>
      <w:jc w:val="both"/>
    </w:pPr>
    <w:rPr>
      <w:color w:val="FF00FF"/>
      <w:szCs w:val="20"/>
    </w:rPr>
  </w:style>
  <w:style w:type="character" w:customStyle="1" w:styleId="20">
    <w:name w:val="Основен текст 2 Знак"/>
    <w:basedOn w:val="a0"/>
    <w:link w:val="2"/>
    <w:semiHidden/>
    <w:rsid w:val="00DC47F4"/>
    <w:rPr>
      <w:rFonts w:ascii="Times New Roman" w:eastAsia="Calibri" w:hAnsi="Times New Roman" w:cs="Times New Roman"/>
      <w:color w:val="FF00FF"/>
      <w:sz w:val="24"/>
      <w:szCs w:val="20"/>
      <w:lang w:eastAsia="ar-SA"/>
    </w:rPr>
  </w:style>
  <w:style w:type="paragraph" w:styleId="a8">
    <w:name w:val="List Paragraph"/>
    <w:basedOn w:val="a"/>
    <w:uiPriority w:val="99"/>
    <w:qFormat/>
    <w:rsid w:val="00DC47F4"/>
    <w:pPr>
      <w:ind w:left="720"/>
      <w:contextualSpacing/>
    </w:pPr>
  </w:style>
  <w:style w:type="paragraph" w:styleId="a9">
    <w:name w:val="header"/>
    <w:basedOn w:val="a"/>
    <w:link w:val="aa"/>
    <w:uiPriority w:val="99"/>
    <w:unhideWhenUsed/>
    <w:rsid w:val="00DC47F4"/>
    <w:pPr>
      <w:tabs>
        <w:tab w:val="center" w:pos="4536"/>
        <w:tab w:val="right" w:pos="9072"/>
      </w:tabs>
    </w:pPr>
  </w:style>
  <w:style w:type="character" w:customStyle="1" w:styleId="aa">
    <w:name w:val="Горен колонтитул Знак"/>
    <w:basedOn w:val="a0"/>
    <w:link w:val="a9"/>
    <w:uiPriority w:val="99"/>
    <w:rsid w:val="00DC47F4"/>
    <w:rPr>
      <w:rFonts w:ascii="Times New Roman" w:eastAsia="Calibri" w:hAnsi="Times New Roman" w:cs="Times New Roman"/>
      <w:sz w:val="24"/>
      <w:szCs w:val="24"/>
      <w:lang w:eastAsia="ar-SA"/>
    </w:rPr>
  </w:style>
  <w:style w:type="paragraph" w:styleId="ab">
    <w:name w:val="footer"/>
    <w:basedOn w:val="a"/>
    <w:link w:val="ac"/>
    <w:uiPriority w:val="99"/>
    <w:unhideWhenUsed/>
    <w:rsid w:val="00DC47F4"/>
    <w:pPr>
      <w:tabs>
        <w:tab w:val="center" w:pos="4536"/>
        <w:tab w:val="right" w:pos="9072"/>
      </w:tabs>
    </w:pPr>
  </w:style>
  <w:style w:type="character" w:customStyle="1" w:styleId="ac">
    <w:name w:val="Долен колонтитул Знак"/>
    <w:basedOn w:val="a0"/>
    <w:link w:val="ab"/>
    <w:uiPriority w:val="99"/>
    <w:rsid w:val="00DC47F4"/>
    <w:rPr>
      <w:rFonts w:ascii="Times New Roman" w:eastAsia="Calibri" w:hAnsi="Times New Roman" w:cs="Times New Roman"/>
      <w:sz w:val="24"/>
      <w:szCs w:val="24"/>
      <w:lang w:eastAsia="ar-SA"/>
    </w:rPr>
  </w:style>
  <w:style w:type="paragraph" w:styleId="ad">
    <w:name w:val="Balloon Text"/>
    <w:basedOn w:val="a"/>
    <w:link w:val="ae"/>
    <w:uiPriority w:val="99"/>
    <w:semiHidden/>
    <w:unhideWhenUsed/>
    <w:rsid w:val="00286CD4"/>
    <w:rPr>
      <w:rFonts w:ascii="Tahoma" w:hAnsi="Tahoma" w:cs="Tahoma"/>
      <w:sz w:val="16"/>
      <w:szCs w:val="16"/>
    </w:rPr>
  </w:style>
  <w:style w:type="character" w:customStyle="1" w:styleId="ae">
    <w:name w:val="Изнесен текст Знак"/>
    <w:basedOn w:val="a0"/>
    <w:link w:val="ad"/>
    <w:uiPriority w:val="99"/>
    <w:semiHidden/>
    <w:rsid w:val="00286CD4"/>
    <w:rPr>
      <w:rFonts w:ascii="Tahoma" w:eastAsia="Calibri" w:hAnsi="Tahoma" w:cs="Tahoma"/>
      <w:sz w:val="16"/>
      <w:szCs w:val="16"/>
      <w:lang w:eastAsia="ar-SA"/>
    </w:rPr>
  </w:style>
  <w:style w:type="character" w:styleId="af">
    <w:name w:val="footnote reference"/>
    <w:aliases w:val="Footnote symbol"/>
    <w:semiHidden/>
    <w:unhideWhenUsed/>
    <w:rsid w:val="00283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1502">
      <w:bodyDiv w:val="1"/>
      <w:marLeft w:val="0"/>
      <w:marRight w:val="0"/>
      <w:marTop w:val="0"/>
      <w:marBottom w:val="0"/>
      <w:divBdr>
        <w:top w:val="none" w:sz="0" w:space="0" w:color="auto"/>
        <w:left w:val="none" w:sz="0" w:space="0" w:color="auto"/>
        <w:bottom w:val="none" w:sz="0" w:space="0" w:color="auto"/>
        <w:right w:val="none" w:sz="0" w:space="0" w:color="auto"/>
      </w:divBdr>
    </w:div>
    <w:div w:id="1037970677">
      <w:bodyDiv w:val="1"/>
      <w:marLeft w:val="0"/>
      <w:marRight w:val="0"/>
      <w:marTop w:val="0"/>
      <w:marBottom w:val="0"/>
      <w:divBdr>
        <w:top w:val="none" w:sz="0" w:space="0" w:color="auto"/>
        <w:left w:val="none" w:sz="0" w:space="0" w:color="auto"/>
        <w:bottom w:val="none" w:sz="0" w:space="0" w:color="auto"/>
        <w:right w:val="none" w:sz="0" w:space="0" w:color="auto"/>
      </w:divBdr>
    </w:div>
    <w:div w:id="21158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778</Words>
  <Characters>4440</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Velcheva</dc:creator>
  <cp:keywords/>
  <dc:description/>
  <cp:lastModifiedBy>Teodora Velcheva</cp:lastModifiedBy>
  <cp:revision>17</cp:revision>
  <cp:lastPrinted>2017-02-02T10:01:00Z</cp:lastPrinted>
  <dcterms:created xsi:type="dcterms:W3CDTF">2017-01-24T12:46:00Z</dcterms:created>
  <dcterms:modified xsi:type="dcterms:W3CDTF">2017-01-30T11:58:00Z</dcterms:modified>
</cp:coreProperties>
</file>